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3E2" w:rsidRDefault="00B12091" w:rsidP="00ED29D1">
      <w:pPr>
        <w:pStyle w:val="Geenafstand"/>
        <w:spacing w:line="276" w:lineRule="auto"/>
        <w:rPr>
          <w:rFonts w:ascii="Verdana" w:hAnsi="Verdana"/>
          <w:b/>
          <w:color w:val="4472C4" w:themeColor="accent5"/>
          <w:sz w:val="20"/>
          <w:szCs w:val="18"/>
          <w:lang w:val="en-GB"/>
        </w:rPr>
      </w:pPr>
      <w:r w:rsidRPr="00B12091">
        <w:rPr>
          <w:rFonts w:ascii="Verdana" w:hAnsi="Verdana"/>
          <w:b/>
          <w:color w:val="4472C4" w:themeColor="accent5"/>
          <w:sz w:val="20"/>
          <w:szCs w:val="18"/>
          <w:lang w:val="en-GB"/>
        </w:rPr>
        <w:t>Part</w:t>
      </w:r>
      <w:r>
        <w:rPr>
          <w:rFonts w:ascii="Verdana" w:hAnsi="Verdana"/>
          <w:b/>
          <w:color w:val="4472C4" w:themeColor="accent5"/>
          <w:sz w:val="20"/>
          <w:szCs w:val="18"/>
          <w:lang w:val="en-GB"/>
        </w:rPr>
        <w:t xml:space="preserve"> 5</w:t>
      </w:r>
      <w:r w:rsidRPr="00B12091">
        <w:rPr>
          <w:rFonts w:ascii="Verdana" w:hAnsi="Verdana"/>
          <w:b/>
          <w:color w:val="4472C4" w:themeColor="accent5"/>
          <w:sz w:val="20"/>
          <w:szCs w:val="18"/>
          <w:lang w:val="en-GB"/>
        </w:rPr>
        <w:t xml:space="preserve">: </w:t>
      </w:r>
      <w:r w:rsidR="004F1146" w:rsidRPr="00B12091">
        <w:rPr>
          <w:rFonts w:ascii="Verdana" w:hAnsi="Verdana"/>
          <w:b/>
          <w:color w:val="4472C4" w:themeColor="accent5"/>
          <w:sz w:val="20"/>
          <w:szCs w:val="18"/>
          <w:lang w:val="en-GB"/>
        </w:rPr>
        <w:t>Sensitivity analysis</w:t>
      </w:r>
    </w:p>
    <w:p w:rsidR="00B12091" w:rsidRDefault="00B12091" w:rsidP="00ED29D1">
      <w:pPr>
        <w:spacing w:after="0" w:line="276" w:lineRule="auto"/>
        <w:rPr>
          <w:rFonts w:ascii="Verdana" w:hAnsi="Verdana"/>
          <w:b/>
          <w:sz w:val="18"/>
          <w:szCs w:val="18"/>
        </w:rPr>
      </w:pPr>
    </w:p>
    <w:p w:rsidR="00B12091" w:rsidRDefault="00B12091" w:rsidP="00ED29D1">
      <w:pPr>
        <w:spacing w:after="0" w:line="276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Partial</w:t>
      </w:r>
      <w:r w:rsidRPr="004D3DC6">
        <w:rPr>
          <w:rFonts w:ascii="Verdana" w:hAnsi="Verdana"/>
          <w:b/>
          <w:sz w:val="18"/>
          <w:szCs w:val="18"/>
        </w:rPr>
        <w:t xml:space="preserve"> sensitivity analysis</w:t>
      </w:r>
    </w:p>
    <w:p w:rsidR="00ED29D1" w:rsidRPr="004D3DC6" w:rsidRDefault="00ED29D1" w:rsidP="00ED29D1">
      <w:pPr>
        <w:spacing w:after="0" w:line="276" w:lineRule="auto"/>
        <w:rPr>
          <w:rFonts w:ascii="Verdana" w:hAnsi="Verdana"/>
          <w:b/>
          <w:sz w:val="18"/>
          <w:szCs w:val="18"/>
        </w:rPr>
      </w:pPr>
    </w:p>
    <w:p w:rsidR="001E2C24" w:rsidRPr="004D3DC6" w:rsidRDefault="001E2C24" w:rsidP="00ED29D1">
      <w:pPr>
        <w:numPr>
          <w:ilvl w:val="0"/>
          <w:numId w:val="10"/>
        </w:numPr>
        <w:spacing w:after="0" w:line="276" w:lineRule="auto"/>
        <w:ind w:hanging="357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 xml:space="preserve">MCA 2: Change in weights: Trust: 10% </w:t>
      </w:r>
      <w:r w:rsidRPr="004D3DC6">
        <w:rPr>
          <w:rFonts w:ascii="Verdana" w:hAnsi="Verdana"/>
          <w:sz w:val="18"/>
          <w:szCs w:val="18"/>
        </w:rPr>
        <w:sym w:font="Wingdings" w:char="F0E8"/>
      </w:r>
      <w:r w:rsidRPr="004D3DC6">
        <w:rPr>
          <w:rFonts w:ascii="Verdana" w:hAnsi="Verdana"/>
          <w:sz w:val="18"/>
          <w:szCs w:val="18"/>
        </w:rPr>
        <w:t xml:space="preserve"> 20% and Employment: 20% </w:t>
      </w:r>
      <w:r w:rsidRPr="004D3DC6">
        <w:rPr>
          <w:rFonts w:ascii="Verdana" w:hAnsi="Verdana"/>
          <w:sz w:val="18"/>
          <w:szCs w:val="18"/>
        </w:rPr>
        <w:sym w:font="Wingdings" w:char="F0E8"/>
      </w:r>
      <w:r w:rsidRPr="004D3DC6">
        <w:rPr>
          <w:rFonts w:ascii="Verdana" w:hAnsi="Verdana"/>
          <w:sz w:val="18"/>
          <w:szCs w:val="18"/>
        </w:rPr>
        <w:t xml:space="preserve"> 10%</w:t>
      </w:r>
    </w:p>
    <w:p w:rsidR="001E2C24" w:rsidRPr="004D3DC6" w:rsidRDefault="001E2C24" w:rsidP="00ED29D1">
      <w:pPr>
        <w:numPr>
          <w:ilvl w:val="0"/>
          <w:numId w:val="10"/>
        </w:numPr>
        <w:spacing w:after="0" w:line="276" w:lineRule="auto"/>
        <w:ind w:hanging="357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>MCA 3: transparency of payment practices: 30,000 companies yearly instead of 18,000 companies quarterly</w:t>
      </w:r>
    </w:p>
    <w:p w:rsidR="002E52EC" w:rsidRPr="004D3DC6" w:rsidRDefault="002E52EC" w:rsidP="00ED29D1">
      <w:pPr>
        <w:numPr>
          <w:ilvl w:val="0"/>
          <w:numId w:val="10"/>
        </w:numPr>
        <w:spacing w:after="0" w:line="276" w:lineRule="auto"/>
        <w:ind w:hanging="357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>MCA 4: tax regulations: 50,000 applications instead of 30,000</w:t>
      </w:r>
    </w:p>
    <w:p w:rsidR="005272D8" w:rsidRPr="004D3DC6" w:rsidRDefault="005272D8" w:rsidP="00ED29D1">
      <w:pPr>
        <w:numPr>
          <w:ilvl w:val="0"/>
          <w:numId w:val="10"/>
        </w:numPr>
        <w:spacing w:after="0" w:line="276" w:lineRule="auto"/>
        <w:ind w:hanging="357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 xml:space="preserve">MCA 5: </w:t>
      </w:r>
      <w:r w:rsidR="003B0D40" w:rsidRPr="004D3DC6">
        <w:rPr>
          <w:rFonts w:ascii="Verdana" w:hAnsi="Verdana"/>
          <w:sz w:val="18"/>
          <w:szCs w:val="18"/>
        </w:rPr>
        <w:t>trust increases with 4.5 instead of 3</w:t>
      </w:r>
    </w:p>
    <w:p w:rsidR="001E2C24" w:rsidRPr="004D3DC6" w:rsidRDefault="001E2C24" w:rsidP="00ED29D1">
      <w:pPr>
        <w:spacing w:after="0" w:line="276" w:lineRule="auto"/>
        <w:ind w:left="2694"/>
        <w:rPr>
          <w:rFonts w:ascii="Verdana" w:hAnsi="Verdana"/>
          <w:sz w:val="18"/>
          <w:szCs w:val="18"/>
        </w:rPr>
      </w:pPr>
    </w:p>
    <w:tbl>
      <w:tblPr>
        <w:tblW w:w="13086" w:type="dxa"/>
        <w:jc w:val="center"/>
        <w:tblLook w:val="04A0" w:firstRow="1" w:lastRow="0" w:firstColumn="1" w:lastColumn="0" w:noHBand="0" w:noVBand="1"/>
      </w:tblPr>
      <w:tblGrid>
        <w:gridCol w:w="3118"/>
        <w:gridCol w:w="983"/>
        <w:gridCol w:w="992"/>
        <w:gridCol w:w="993"/>
        <w:gridCol w:w="992"/>
        <w:gridCol w:w="992"/>
        <w:gridCol w:w="992"/>
        <w:gridCol w:w="993"/>
        <w:gridCol w:w="992"/>
        <w:gridCol w:w="992"/>
        <w:gridCol w:w="1047"/>
      </w:tblGrid>
      <w:tr w:rsidR="005272D8" w:rsidRPr="004D3DC6" w:rsidTr="004D3DC6">
        <w:trPr>
          <w:trHeight w:val="315"/>
          <w:jc w:val="center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MCA 1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MCA 2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MCA 3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MCA 4</w:t>
            </w:r>
          </w:p>
        </w:tc>
        <w:tc>
          <w:tcPr>
            <w:tcW w:w="20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 xml:space="preserve">MCA </w:t>
            </w:r>
            <w:r w:rsidR="00321EB1" w:rsidRPr="004D3DC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5272D8" w:rsidRPr="004D3DC6" w:rsidTr="004D3DC6">
        <w:trPr>
          <w:trHeight w:val="315"/>
          <w:jc w:val="center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72D8" w:rsidRPr="004D3DC6" w:rsidRDefault="005272D8" w:rsidP="00ED29D1">
            <w:pPr>
              <w:spacing w:after="0" w:line="276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Option 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Option 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Option 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Option 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Option 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Option 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Option 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Option 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Option 1</w:t>
            </w:r>
          </w:p>
        </w:tc>
        <w:tc>
          <w:tcPr>
            <w:tcW w:w="10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Option 2</w:t>
            </w:r>
          </w:p>
        </w:tc>
      </w:tr>
      <w:tr w:rsidR="005272D8" w:rsidRPr="004D3DC6" w:rsidTr="004D3DC6">
        <w:trPr>
          <w:trHeight w:val="315"/>
          <w:jc w:val="center"/>
        </w:trPr>
        <w:tc>
          <w:tcPr>
            <w:tcW w:w="13086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Benefits</w:t>
            </w:r>
          </w:p>
        </w:tc>
      </w:tr>
      <w:tr w:rsidR="005272D8" w:rsidRPr="004D3DC6" w:rsidTr="004D3DC6">
        <w:trPr>
          <w:trHeight w:val="300"/>
          <w:jc w:val="center"/>
        </w:trPr>
        <w:tc>
          <w:tcPr>
            <w:tcW w:w="11047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iCs/>
                <w:color w:val="000000"/>
                <w:sz w:val="18"/>
                <w:szCs w:val="18"/>
              </w:rPr>
              <w:t>Market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rPr>
                <w:rFonts w:ascii="Verdana" w:eastAsia="Times New Roman" w:hAnsi="Verdana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rPr>
                <w:rFonts w:ascii="Verdana" w:eastAsia="Times New Roman" w:hAnsi="Verdana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5272D8" w:rsidRPr="004D3DC6" w:rsidTr="004D3DC6">
        <w:trPr>
          <w:trHeight w:val="300"/>
          <w:jc w:val="center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ind w:firstLineChars="100" w:firstLine="180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Trust (scale 1-10)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</w:t>
            </w:r>
            <w:r w:rsidR="003B0D40"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</w:tr>
      <w:tr w:rsidR="005272D8" w:rsidRPr="004D3DC6" w:rsidTr="004D3DC6">
        <w:trPr>
          <w:trHeight w:val="300"/>
          <w:jc w:val="center"/>
        </w:trPr>
        <w:tc>
          <w:tcPr>
            <w:tcW w:w="11047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</w:rPr>
              <w:t>Society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5272D8" w:rsidRPr="004D3DC6" w:rsidTr="004D3DC6">
        <w:trPr>
          <w:trHeight w:val="300"/>
          <w:jc w:val="center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ind w:firstLineChars="100" w:firstLine="180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Employment (</w:t>
            </w:r>
            <w:r w:rsidR="006C4B63"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jobs</w:t>
            </w: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0.15</w:t>
            </w:r>
          </w:p>
        </w:tc>
      </w:tr>
      <w:tr w:rsidR="005272D8" w:rsidRPr="004D3DC6" w:rsidTr="004D3DC6">
        <w:trPr>
          <w:trHeight w:val="300"/>
          <w:jc w:val="center"/>
        </w:trPr>
        <w:tc>
          <w:tcPr>
            <w:tcW w:w="11047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72D8" w:rsidRPr="004D3DC6" w:rsidRDefault="006C4B63" w:rsidP="00ED29D1">
            <w:pPr>
              <w:spacing w:after="0" w:line="276" w:lineRule="auto"/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</w:rPr>
              <w:t>Business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5272D8" w:rsidRPr="004D3DC6" w:rsidTr="004D3DC6">
        <w:trPr>
          <w:trHeight w:val="300"/>
          <w:jc w:val="center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ind w:firstLineChars="100" w:firstLine="180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Delay (days)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</w:tr>
      <w:tr w:rsidR="005272D8" w:rsidRPr="004D3DC6" w:rsidTr="004D3DC6">
        <w:trPr>
          <w:trHeight w:val="300"/>
          <w:jc w:val="center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ind w:firstLineChars="100" w:firstLine="180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Operation and financial (€)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</w:tr>
      <w:tr w:rsidR="005272D8" w:rsidRPr="004D3DC6" w:rsidTr="004D3DC6">
        <w:trPr>
          <w:trHeight w:val="315"/>
          <w:jc w:val="center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ind w:firstLineChars="100" w:firstLine="180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Enforcement (</w:t>
            </w:r>
            <w:r w:rsidR="006C4B63"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€</w:t>
            </w: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</w:t>
            </w:r>
            <w:r w:rsidR="003B0D40"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07</w:t>
            </w:r>
          </w:p>
        </w:tc>
      </w:tr>
      <w:tr w:rsidR="005272D8" w:rsidRPr="004D3DC6" w:rsidTr="004D3DC6">
        <w:trPr>
          <w:trHeight w:val="315"/>
          <w:jc w:val="center"/>
        </w:trPr>
        <w:tc>
          <w:tcPr>
            <w:tcW w:w="1308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272D8" w:rsidRPr="00D84DC9" w:rsidRDefault="005272D8" w:rsidP="00ED29D1">
            <w:pPr>
              <w:spacing w:after="0" w:line="276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D84DC9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Costs</w:t>
            </w:r>
          </w:p>
        </w:tc>
      </w:tr>
      <w:tr w:rsidR="005272D8" w:rsidRPr="004D3DC6" w:rsidTr="004D3DC6">
        <w:trPr>
          <w:trHeight w:val="300"/>
          <w:jc w:val="center"/>
        </w:trPr>
        <w:tc>
          <w:tcPr>
            <w:tcW w:w="11047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</w:rPr>
              <w:t>Business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5272D8" w:rsidRPr="004D3DC6" w:rsidTr="004D3DC6">
        <w:trPr>
          <w:trHeight w:val="300"/>
          <w:jc w:val="center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ind w:firstLineChars="100" w:firstLine="180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Administrative burden (</w:t>
            </w:r>
            <w:r w:rsidR="006C4B63"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€</w:t>
            </w: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</w:t>
            </w:r>
            <w:r w:rsidR="003B0D40"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5272D8" w:rsidRPr="004D3DC6" w:rsidTr="004D3DC6">
        <w:trPr>
          <w:trHeight w:val="300"/>
          <w:jc w:val="center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ind w:firstLineChars="100" w:firstLine="180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Operation and financial (€)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</w:tr>
      <w:tr w:rsidR="005272D8" w:rsidRPr="004D3DC6" w:rsidTr="004D3DC6">
        <w:trPr>
          <w:trHeight w:val="300"/>
          <w:jc w:val="center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ind w:firstLineChars="100" w:firstLine="180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Enforcement (</w:t>
            </w:r>
            <w:r w:rsidR="006C4B63"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€</w:t>
            </w: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</w:t>
            </w:r>
            <w:r w:rsidR="003B0D40"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.09</w:t>
            </w:r>
          </w:p>
        </w:tc>
      </w:tr>
      <w:tr w:rsidR="005272D8" w:rsidRPr="004D3DC6" w:rsidTr="004D3DC6">
        <w:trPr>
          <w:trHeight w:val="300"/>
          <w:jc w:val="center"/>
        </w:trPr>
        <w:tc>
          <w:tcPr>
            <w:tcW w:w="11047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</w:rPr>
              <w:t>Institutions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5272D8" w:rsidRPr="004D3DC6" w:rsidTr="004D3DC6">
        <w:trPr>
          <w:trHeight w:val="300"/>
          <w:jc w:val="center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ind w:firstLineChars="100" w:firstLine="180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Administrative burden (</w:t>
            </w:r>
            <w:r w:rsidR="006C4B63"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€</w:t>
            </w: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5272D8" w:rsidRPr="004D3DC6" w:rsidTr="004D3DC6">
        <w:trPr>
          <w:trHeight w:val="300"/>
          <w:jc w:val="center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ind w:firstLineChars="100" w:firstLine="180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Operation and financial (€)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0.05</w:t>
            </w:r>
          </w:p>
        </w:tc>
      </w:tr>
      <w:tr w:rsidR="005272D8" w:rsidRPr="004D3DC6" w:rsidTr="004D3DC6">
        <w:trPr>
          <w:trHeight w:val="315"/>
          <w:jc w:val="center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ind w:firstLineChars="100" w:firstLine="180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Enforcement (</w:t>
            </w:r>
            <w:r w:rsidR="006C4B63"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€</w:t>
            </w: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vAlign w:val="center"/>
          </w:tcPr>
          <w:p w:rsidR="005272D8" w:rsidRPr="004D3DC6" w:rsidRDefault="003B0D40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0.10</w:t>
            </w:r>
          </w:p>
        </w:tc>
      </w:tr>
      <w:tr w:rsidR="005272D8" w:rsidRPr="004D3DC6" w:rsidTr="004D3DC6">
        <w:trPr>
          <w:trHeight w:val="315"/>
          <w:jc w:val="center"/>
        </w:trPr>
        <w:tc>
          <w:tcPr>
            <w:tcW w:w="31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ind w:firstLineChars="100" w:firstLine="181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9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0.11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0.11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272D8" w:rsidRPr="004D3DC6" w:rsidRDefault="003B0D40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0.13</w:t>
            </w:r>
          </w:p>
        </w:tc>
        <w:tc>
          <w:tcPr>
            <w:tcW w:w="104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272D8" w:rsidRPr="004D3DC6" w:rsidRDefault="005272D8" w:rsidP="00ED29D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4D3DC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="003B0D40" w:rsidRPr="004D3DC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.12</w:t>
            </w:r>
          </w:p>
        </w:tc>
      </w:tr>
    </w:tbl>
    <w:p w:rsidR="00350830" w:rsidRPr="004D3DC6" w:rsidRDefault="00350830" w:rsidP="00ED29D1">
      <w:pPr>
        <w:spacing w:after="0" w:line="276" w:lineRule="auto"/>
        <w:rPr>
          <w:rFonts w:ascii="Verdana" w:hAnsi="Verdana"/>
          <w:sz w:val="18"/>
          <w:szCs w:val="18"/>
        </w:rPr>
        <w:sectPr w:rsidR="00350830" w:rsidRPr="004D3DC6" w:rsidSect="00E32B07">
          <w:headerReference w:type="default" r:id="rId8"/>
          <w:footerReference w:type="default" r:id="rId9"/>
          <w:headerReference w:type="first" r:id="rId10"/>
          <w:pgSz w:w="15840" w:h="12240" w:orient="landscape"/>
          <w:pgMar w:top="1418" w:right="1418" w:bottom="1418" w:left="1418" w:header="709" w:footer="709" w:gutter="0"/>
          <w:pgNumType w:start="14"/>
          <w:cols w:space="708"/>
          <w:docGrid w:linePitch="360"/>
        </w:sectPr>
      </w:pPr>
    </w:p>
    <w:p w:rsidR="00350830" w:rsidRPr="004D3DC6" w:rsidRDefault="00350830" w:rsidP="00ED29D1">
      <w:pPr>
        <w:spacing w:after="0" w:line="276" w:lineRule="auto"/>
        <w:rPr>
          <w:rFonts w:ascii="Verdana" w:hAnsi="Verdana"/>
          <w:b/>
          <w:sz w:val="18"/>
          <w:szCs w:val="18"/>
        </w:rPr>
      </w:pPr>
      <w:r w:rsidRPr="004D3DC6">
        <w:rPr>
          <w:rFonts w:ascii="Verdana" w:hAnsi="Verdana"/>
          <w:b/>
          <w:sz w:val="18"/>
          <w:szCs w:val="18"/>
        </w:rPr>
        <w:lastRenderedPageBreak/>
        <w:t>Multivariate sensitivity analysis</w:t>
      </w:r>
    </w:p>
    <w:p w:rsidR="00D41FBE" w:rsidRPr="004D3DC6" w:rsidRDefault="00D41FBE" w:rsidP="00ED29D1">
      <w:pPr>
        <w:spacing w:after="0" w:line="276" w:lineRule="auto"/>
        <w:rPr>
          <w:rFonts w:ascii="Verdana" w:hAnsi="Verdana"/>
          <w:sz w:val="18"/>
          <w:szCs w:val="18"/>
        </w:rPr>
      </w:pPr>
    </w:p>
    <w:p w:rsidR="00350830" w:rsidRPr="004D3DC6" w:rsidRDefault="00D41FBE" w:rsidP="00ED29D1">
      <w:pPr>
        <w:spacing w:after="0" w:line="276" w:lineRule="auto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b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4453255</wp:posOffset>
            </wp:positionH>
            <wp:positionV relativeFrom="paragraph">
              <wp:posOffset>13970</wp:posOffset>
            </wp:positionV>
            <wp:extent cx="1847215" cy="969010"/>
            <wp:effectExtent l="0" t="0" r="635" b="2540"/>
            <wp:wrapSquare wrapText="bothSides"/>
            <wp:docPr id="2" name="Afbeelding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1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215" cy="969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0830" w:rsidRPr="004D3DC6">
        <w:rPr>
          <w:rFonts w:ascii="Verdana" w:hAnsi="Verdana"/>
          <w:sz w:val="18"/>
          <w:szCs w:val="18"/>
        </w:rPr>
        <w:t>Inputs</w:t>
      </w:r>
      <w:r w:rsidR="009A5FAE" w:rsidRPr="004D3DC6">
        <w:rPr>
          <w:rFonts w:ascii="Verdana" w:hAnsi="Verdana"/>
          <w:sz w:val="18"/>
          <w:szCs w:val="18"/>
        </w:rPr>
        <w:t xml:space="preserve"> </w:t>
      </w:r>
    </w:p>
    <w:p w:rsidR="00350830" w:rsidRPr="004D3DC6" w:rsidRDefault="00350830" w:rsidP="00ED29D1">
      <w:pPr>
        <w:spacing w:after="0" w:line="276" w:lineRule="auto"/>
        <w:rPr>
          <w:rFonts w:ascii="Verdana" w:hAnsi="Verdana"/>
          <w:b/>
          <w:sz w:val="18"/>
          <w:szCs w:val="18"/>
        </w:rPr>
      </w:pPr>
    </w:p>
    <w:p w:rsidR="00350830" w:rsidRPr="004D3DC6" w:rsidRDefault="00350830" w:rsidP="00ED29D1">
      <w:pPr>
        <w:numPr>
          <w:ilvl w:val="0"/>
          <w:numId w:val="11"/>
        </w:numPr>
        <w:spacing w:after="0" w:line="276" w:lineRule="auto"/>
        <w:ind w:hanging="357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>Stricter payment terms</w:t>
      </w:r>
    </w:p>
    <w:p w:rsidR="00350830" w:rsidRPr="004D3DC6" w:rsidRDefault="00350830" w:rsidP="00ED29D1">
      <w:pPr>
        <w:numPr>
          <w:ilvl w:val="1"/>
          <w:numId w:val="11"/>
        </w:numPr>
        <w:spacing w:after="0" w:line="276" w:lineRule="auto"/>
        <w:ind w:hanging="357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>Number of firms:</w:t>
      </w:r>
    </w:p>
    <w:p w:rsidR="00350830" w:rsidRPr="004D3DC6" w:rsidRDefault="00350830" w:rsidP="00ED29D1">
      <w:pPr>
        <w:spacing w:after="0" w:line="276" w:lineRule="auto"/>
        <w:ind w:left="1440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 xml:space="preserve">Normal distribution: avg. 2,000,000 and </w:t>
      </w:r>
      <w:proofErr w:type="spellStart"/>
      <w:r w:rsidRPr="004D3DC6">
        <w:rPr>
          <w:rFonts w:ascii="Verdana" w:hAnsi="Verdana"/>
          <w:sz w:val="18"/>
          <w:szCs w:val="18"/>
        </w:rPr>
        <w:t>std.dev</w:t>
      </w:r>
      <w:proofErr w:type="spellEnd"/>
      <w:r w:rsidRPr="004D3DC6">
        <w:rPr>
          <w:rFonts w:ascii="Verdana" w:hAnsi="Verdana"/>
          <w:sz w:val="18"/>
          <w:szCs w:val="18"/>
        </w:rPr>
        <w:t xml:space="preserve">. 200,000 </w:t>
      </w:r>
    </w:p>
    <w:p w:rsidR="00350830" w:rsidRPr="004D3DC6" w:rsidRDefault="00350830" w:rsidP="00ED29D1">
      <w:pPr>
        <w:spacing w:after="0" w:line="276" w:lineRule="auto"/>
        <w:ind w:left="1440"/>
        <w:rPr>
          <w:rFonts w:ascii="Verdana" w:hAnsi="Verdana"/>
          <w:sz w:val="18"/>
          <w:szCs w:val="18"/>
        </w:rPr>
      </w:pPr>
    </w:p>
    <w:p w:rsidR="00350830" w:rsidRPr="004D3DC6" w:rsidRDefault="00350830" w:rsidP="00ED29D1">
      <w:pPr>
        <w:spacing w:after="0" w:line="276" w:lineRule="auto"/>
        <w:ind w:left="1440"/>
        <w:rPr>
          <w:rFonts w:ascii="Verdana" w:hAnsi="Verdana"/>
          <w:sz w:val="18"/>
          <w:szCs w:val="18"/>
        </w:rPr>
      </w:pPr>
    </w:p>
    <w:p w:rsidR="00350830" w:rsidRPr="004D3DC6" w:rsidRDefault="00350830" w:rsidP="00ED29D1">
      <w:pPr>
        <w:spacing w:after="0" w:line="276" w:lineRule="auto"/>
        <w:ind w:left="1440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noProof/>
          <w:sz w:val="18"/>
          <w:szCs w:val="1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4453255</wp:posOffset>
            </wp:positionH>
            <wp:positionV relativeFrom="paragraph">
              <wp:posOffset>51435</wp:posOffset>
            </wp:positionV>
            <wp:extent cx="1847215" cy="969010"/>
            <wp:effectExtent l="0" t="0" r="635" b="2540"/>
            <wp:wrapSquare wrapText="bothSides"/>
            <wp:docPr id="5" name="Afbeelding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4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215" cy="969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0830" w:rsidRPr="004D3DC6" w:rsidRDefault="00350830" w:rsidP="00ED29D1">
      <w:pPr>
        <w:spacing w:after="0" w:line="276" w:lineRule="auto"/>
        <w:ind w:left="1440"/>
        <w:rPr>
          <w:rFonts w:ascii="Verdana" w:hAnsi="Verdana"/>
          <w:sz w:val="18"/>
          <w:szCs w:val="18"/>
        </w:rPr>
      </w:pPr>
    </w:p>
    <w:p w:rsidR="00350830" w:rsidRPr="004D3DC6" w:rsidRDefault="00350830" w:rsidP="00ED29D1">
      <w:pPr>
        <w:numPr>
          <w:ilvl w:val="0"/>
          <w:numId w:val="11"/>
        </w:numPr>
        <w:spacing w:after="0" w:line="276" w:lineRule="auto"/>
        <w:rPr>
          <w:rFonts w:ascii="Verdana" w:hAnsi="Verdana"/>
          <w:sz w:val="18"/>
          <w:szCs w:val="18"/>
        </w:rPr>
      </w:pPr>
      <w:r w:rsidRPr="004D3DC6">
        <w:rPr>
          <w:rFonts w:ascii="Verdana" w:eastAsia="Times New Roman" w:hAnsi="Verdana" w:cs="Times New Roman"/>
          <w:bCs/>
          <w:color w:val="000000"/>
          <w:sz w:val="18"/>
          <w:szCs w:val="18"/>
        </w:rPr>
        <w:t>Transparency of payment practices</w:t>
      </w:r>
    </w:p>
    <w:p w:rsidR="00350830" w:rsidRPr="004D3DC6" w:rsidRDefault="00350830" w:rsidP="00ED29D1">
      <w:pPr>
        <w:numPr>
          <w:ilvl w:val="1"/>
          <w:numId w:val="11"/>
        </w:numPr>
        <w:spacing w:after="0" w:line="276" w:lineRule="auto"/>
        <w:ind w:hanging="357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>Number of firms:</w:t>
      </w:r>
    </w:p>
    <w:p w:rsidR="00350830" w:rsidRPr="004D3DC6" w:rsidRDefault="00350830" w:rsidP="00ED29D1">
      <w:pPr>
        <w:spacing w:after="0" w:line="276" w:lineRule="auto"/>
        <w:ind w:left="1440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>Triangle distribution: min 16,000; avg. 18,000; max 20,000</w:t>
      </w:r>
      <w:r w:rsidRPr="004D3DC6">
        <w:rPr>
          <w:rFonts w:ascii="Verdana" w:hAnsi="Verdana"/>
          <w:noProof/>
          <w:sz w:val="18"/>
          <w:szCs w:val="18"/>
        </w:rPr>
        <w:t xml:space="preserve"> </w:t>
      </w:r>
    </w:p>
    <w:p w:rsidR="00350830" w:rsidRPr="004D3DC6" w:rsidRDefault="00350830" w:rsidP="00ED29D1">
      <w:pPr>
        <w:spacing w:after="0" w:line="276" w:lineRule="auto"/>
        <w:ind w:left="1440"/>
        <w:rPr>
          <w:rFonts w:ascii="Verdana" w:hAnsi="Verdana"/>
          <w:sz w:val="18"/>
          <w:szCs w:val="18"/>
        </w:rPr>
      </w:pPr>
    </w:p>
    <w:p w:rsidR="00350830" w:rsidRPr="004D3DC6" w:rsidRDefault="00350830" w:rsidP="00ED29D1">
      <w:pPr>
        <w:spacing w:after="0" w:line="276" w:lineRule="auto"/>
        <w:ind w:left="1440"/>
        <w:rPr>
          <w:rFonts w:ascii="Verdana" w:hAnsi="Verdana"/>
          <w:sz w:val="18"/>
          <w:szCs w:val="18"/>
        </w:rPr>
      </w:pPr>
    </w:p>
    <w:p w:rsidR="00350830" w:rsidRPr="004D3DC6" w:rsidRDefault="00350830" w:rsidP="00ED29D1">
      <w:pPr>
        <w:spacing w:after="0" w:line="276" w:lineRule="auto"/>
        <w:ind w:left="1440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noProof/>
          <w:sz w:val="18"/>
          <w:szCs w:val="1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4453255</wp:posOffset>
            </wp:positionH>
            <wp:positionV relativeFrom="paragraph">
              <wp:posOffset>82550</wp:posOffset>
            </wp:positionV>
            <wp:extent cx="1847215" cy="969010"/>
            <wp:effectExtent l="0" t="0" r="635" b="2540"/>
            <wp:wrapSquare wrapText="bothSides"/>
            <wp:docPr id="6" name="Afbeelding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5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215" cy="969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0830" w:rsidRPr="004D3DC6" w:rsidRDefault="00350830" w:rsidP="00ED29D1">
      <w:pPr>
        <w:spacing w:after="0" w:line="276" w:lineRule="auto"/>
        <w:ind w:left="1440"/>
        <w:rPr>
          <w:rFonts w:ascii="Verdana" w:hAnsi="Verdana"/>
          <w:sz w:val="18"/>
          <w:szCs w:val="18"/>
        </w:rPr>
      </w:pPr>
    </w:p>
    <w:p w:rsidR="00350830" w:rsidRPr="004D3DC6" w:rsidRDefault="00350830" w:rsidP="00ED29D1">
      <w:pPr>
        <w:numPr>
          <w:ilvl w:val="0"/>
          <w:numId w:val="11"/>
        </w:numPr>
        <w:spacing w:after="0" w:line="276" w:lineRule="auto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>Alternative Dispute Resolution System</w:t>
      </w:r>
    </w:p>
    <w:p w:rsidR="00350830" w:rsidRPr="004D3DC6" w:rsidRDefault="00350830" w:rsidP="00ED29D1">
      <w:pPr>
        <w:numPr>
          <w:ilvl w:val="1"/>
          <w:numId w:val="11"/>
        </w:numPr>
        <w:spacing w:after="0" w:line="276" w:lineRule="auto"/>
        <w:ind w:hanging="357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>Number of firms:</w:t>
      </w:r>
    </w:p>
    <w:p w:rsidR="00350830" w:rsidRPr="004D3DC6" w:rsidRDefault="00350830" w:rsidP="00ED29D1">
      <w:pPr>
        <w:spacing w:after="0" w:line="276" w:lineRule="auto"/>
        <w:ind w:left="1440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>Uniform distribution: min 7,500; max 15</w:t>
      </w:r>
      <w:r w:rsidRPr="004D3DC6">
        <w:rPr>
          <w:rFonts w:ascii="Verdana" w:hAnsi="Verdana"/>
          <w:noProof/>
          <w:sz w:val="18"/>
          <w:szCs w:val="18"/>
        </w:rPr>
        <w:t xml:space="preserve"> </w:t>
      </w:r>
      <w:r w:rsidRPr="004D3DC6">
        <w:rPr>
          <w:rFonts w:ascii="Verdana" w:hAnsi="Verdana"/>
          <w:sz w:val="18"/>
          <w:szCs w:val="18"/>
        </w:rPr>
        <w:t>,000</w:t>
      </w:r>
    </w:p>
    <w:p w:rsidR="00350830" w:rsidRPr="004D3DC6" w:rsidRDefault="00350830" w:rsidP="00ED29D1">
      <w:pPr>
        <w:spacing w:after="0" w:line="276" w:lineRule="auto"/>
        <w:ind w:left="1440"/>
        <w:rPr>
          <w:rFonts w:ascii="Verdana" w:hAnsi="Verdana"/>
          <w:sz w:val="18"/>
          <w:szCs w:val="18"/>
        </w:rPr>
      </w:pPr>
    </w:p>
    <w:p w:rsidR="00350830" w:rsidRPr="004D3DC6" w:rsidRDefault="00350830" w:rsidP="00ED29D1">
      <w:pPr>
        <w:spacing w:after="0" w:line="276" w:lineRule="auto"/>
        <w:ind w:left="720"/>
        <w:rPr>
          <w:rFonts w:ascii="Verdana" w:hAnsi="Verdana"/>
          <w:sz w:val="18"/>
          <w:szCs w:val="18"/>
        </w:rPr>
      </w:pPr>
    </w:p>
    <w:p w:rsidR="00350830" w:rsidRPr="004D3DC6" w:rsidRDefault="00350830" w:rsidP="00ED29D1">
      <w:pPr>
        <w:spacing w:after="0" w:line="276" w:lineRule="auto"/>
        <w:ind w:left="720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4453255</wp:posOffset>
            </wp:positionH>
            <wp:positionV relativeFrom="paragraph">
              <wp:posOffset>78105</wp:posOffset>
            </wp:positionV>
            <wp:extent cx="1847215" cy="969010"/>
            <wp:effectExtent l="0" t="0" r="635" b="2540"/>
            <wp:wrapSquare wrapText="bothSides"/>
            <wp:docPr id="3" name="Afbeelding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2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215" cy="969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0830" w:rsidRPr="004D3DC6" w:rsidRDefault="00350830" w:rsidP="00ED29D1">
      <w:pPr>
        <w:spacing w:after="0" w:line="276" w:lineRule="auto"/>
        <w:ind w:left="720"/>
        <w:rPr>
          <w:rFonts w:ascii="Verdana" w:hAnsi="Verdana"/>
          <w:sz w:val="18"/>
          <w:szCs w:val="18"/>
        </w:rPr>
      </w:pPr>
    </w:p>
    <w:p w:rsidR="00350830" w:rsidRPr="004D3DC6" w:rsidRDefault="00350830" w:rsidP="00ED29D1">
      <w:pPr>
        <w:numPr>
          <w:ilvl w:val="0"/>
          <w:numId w:val="11"/>
        </w:numPr>
        <w:spacing w:after="0" w:line="276" w:lineRule="auto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>Administrative sanctions</w:t>
      </w:r>
    </w:p>
    <w:p w:rsidR="00350830" w:rsidRPr="004D3DC6" w:rsidRDefault="00350830" w:rsidP="00ED29D1">
      <w:pPr>
        <w:numPr>
          <w:ilvl w:val="1"/>
          <w:numId w:val="11"/>
        </w:numPr>
        <w:spacing w:after="0" w:line="276" w:lineRule="auto"/>
        <w:ind w:hanging="357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>Number of firms:</w:t>
      </w:r>
    </w:p>
    <w:p w:rsidR="00350830" w:rsidRPr="004D3DC6" w:rsidRDefault="00350830" w:rsidP="00ED29D1">
      <w:pPr>
        <w:spacing w:after="0" w:line="276" w:lineRule="auto"/>
        <w:ind w:left="1440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>Triangle distribution: min 1,350; avg. 1,500; max 1,650</w:t>
      </w:r>
    </w:p>
    <w:p w:rsidR="00350830" w:rsidRPr="004D3DC6" w:rsidRDefault="00350830" w:rsidP="00ED29D1">
      <w:pPr>
        <w:spacing w:after="0" w:line="276" w:lineRule="auto"/>
        <w:ind w:left="1440"/>
        <w:rPr>
          <w:rFonts w:ascii="Verdana" w:hAnsi="Verdana"/>
          <w:sz w:val="18"/>
          <w:szCs w:val="18"/>
        </w:rPr>
      </w:pPr>
    </w:p>
    <w:p w:rsidR="00350830" w:rsidRPr="004D3DC6" w:rsidRDefault="00350830" w:rsidP="00ED29D1">
      <w:pPr>
        <w:spacing w:after="0" w:line="276" w:lineRule="auto"/>
        <w:ind w:left="1440"/>
        <w:rPr>
          <w:rFonts w:ascii="Verdana" w:hAnsi="Verdana"/>
          <w:sz w:val="18"/>
          <w:szCs w:val="18"/>
        </w:rPr>
      </w:pPr>
    </w:p>
    <w:p w:rsidR="00350830" w:rsidRPr="004D3DC6" w:rsidRDefault="00350830" w:rsidP="00ED29D1">
      <w:pPr>
        <w:spacing w:after="0" w:line="276" w:lineRule="auto"/>
        <w:ind w:left="1440"/>
        <w:rPr>
          <w:rFonts w:ascii="Verdana" w:hAnsi="Verdana"/>
          <w:noProof/>
          <w:sz w:val="18"/>
          <w:szCs w:val="18"/>
        </w:rPr>
      </w:pPr>
      <w:r w:rsidRPr="004D3DC6">
        <w:rPr>
          <w:rFonts w:ascii="Verdana" w:hAnsi="Verdana"/>
          <w:noProof/>
          <w:sz w:val="18"/>
          <w:szCs w:val="1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4453255</wp:posOffset>
            </wp:positionH>
            <wp:positionV relativeFrom="paragraph">
              <wp:posOffset>128270</wp:posOffset>
            </wp:positionV>
            <wp:extent cx="1847619" cy="969430"/>
            <wp:effectExtent l="0" t="0" r="635" b="2540"/>
            <wp:wrapSquare wrapText="bothSides"/>
            <wp:docPr id="4" name="Afbeelding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619" cy="969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0830" w:rsidRPr="004D3DC6" w:rsidRDefault="00350830" w:rsidP="00ED29D1">
      <w:pPr>
        <w:spacing w:after="0" w:line="276" w:lineRule="auto"/>
        <w:ind w:left="1440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noProof/>
          <w:sz w:val="18"/>
          <w:szCs w:val="18"/>
        </w:rPr>
        <w:t xml:space="preserve"> </w:t>
      </w:r>
    </w:p>
    <w:p w:rsidR="00350830" w:rsidRPr="004D3DC6" w:rsidRDefault="00350830" w:rsidP="00ED29D1">
      <w:pPr>
        <w:numPr>
          <w:ilvl w:val="0"/>
          <w:numId w:val="11"/>
        </w:numPr>
        <w:spacing w:after="0" w:line="276" w:lineRule="auto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>Tax regulations</w:t>
      </w:r>
    </w:p>
    <w:p w:rsidR="00350830" w:rsidRPr="004D3DC6" w:rsidRDefault="00350830" w:rsidP="00ED29D1">
      <w:pPr>
        <w:numPr>
          <w:ilvl w:val="1"/>
          <w:numId w:val="11"/>
        </w:numPr>
        <w:spacing w:after="0" w:line="276" w:lineRule="auto"/>
        <w:ind w:hanging="357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 xml:space="preserve">Number of </w:t>
      </w:r>
      <w:r w:rsidR="00A94F54" w:rsidRPr="004D3DC6">
        <w:rPr>
          <w:rFonts w:ascii="Verdana" w:hAnsi="Verdana"/>
          <w:sz w:val="18"/>
          <w:szCs w:val="18"/>
        </w:rPr>
        <w:t>applications</w:t>
      </w:r>
      <w:r w:rsidRPr="004D3DC6">
        <w:rPr>
          <w:rFonts w:ascii="Verdana" w:hAnsi="Verdana"/>
          <w:sz w:val="18"/>
          <w:szCs w:val="18"/>
        </w:rPr>
        <w:t>:</w:t>
      </w:r>
    </w:p>
    <w:p w:rsidR="00350830" w:rsidRPr="004D3DC6" w:rsidRDefault="00350830" w:rsidP="00ED29D1">
      <w:pPr>
        <w:spacing w:after="0" w:line="276" w:lineRule="auto"/>
        <w:ind w:left="1440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>Uniform distribution: min 20,000; max 50,000</w:t>
      </w:r>
    </w:p>
    <w:p w:rsidR="00350830" w:rsidRPr="004D3DC6" w:rsidRDefault="00350830" w:rsidP="00ED29D1">
      <w:pPr>
        <w:spacing w:after="0" w:line="276" w:lineRule="auto"/>
        <w:ind w:left="720"/>
        <w:rPr>
          <w:rFonts w:ascii="Verdana" w:hAnsi="Verdana"/>
          <w:sz w:val="18"/>
          <w:szCs w:val="18"/>
        </w:rPr>
      </w:pPr>
    </w:p>
    <w:p w:rsidR="00350830" w:rsidRPr="004D3DC6" w:rsidRDefault="00350830" w:rsidP="00ED29D1">
      <w:pPr>
        <w:spacing w:after="0" w:line="276" w:lineRule="auto"/>
        <w:rPr>
          <w:rFonts w:ascii="Verdana" w:hAnsi="Verdana"/>
          <w:sz w:val="18"/>
          <w:szCs w:val="18"/>
        </w:rPr>
      </w:pPr>
    </w:p>
    <w:p w:rsidR="00350830" w:rsidRPr="004D3DC6" w:rsidRDefault="00350830" w:rsidP="00ED29D1">
      <w:pPr>
        <w:spacing w:after="0" w:line="276" w:lineRule="auto"/>
        <w:rPr>
          <w:rFonts w:ascii="Verdana" w:hAnsi="Verdana"/>
          <w:sz w:val="18"/>
          <w:szCs w:val="18"/>
        </w:rPr>
      </w:pPr>
    </w:p>
    <w:p w:rsidR="00C6367A" w:rsidRPr="004D3DC6" w:rsidRDefault="00C6367A" w:rsidP="00ED29D1">
      <w:pPr>
        <w:spacing w:after="0" w:line="276" w:lineRule="auto"/>
        <w:rPr>
          <w:rFonts w:ascii="Verdana" w:hAnsi="Verdana"/>
          <w:sz w:val="18"/>
          <w:szCs w:val="18"/>
        </w:rPr>
        <w:sectPr w:rsidR="00C6367A" w:rsidRPr="004D3DC6" w:rsidSect="00BD1A89">
          <w:pgSz w:w="12240" w:h="15840"/>
          <w:pgMar w:top="1418" w:right="1418" w:bottom="1418" w:left="1418" w:header="709" w:footer="709" w:gutter="0"/>
          <w:cols w:space="708"/>
          <w:docGrid w:linePitch="360"/>
        </w:sectPr>
      </w:pPr>
    </w:p>
    <w:p w:rsidR="00C6367A" w:rsidRPr="004D3DC6" w:rsidRDefault="00C6367A" w:rsidP="00ED29D1">
      <w:pPr>
        <w:pStyle w:val="Bijschrift"/>
        <w:keepNext/>
        <w:spacing w:after="0" w:line="276" w:lineRule="auto"/>
        <w:jc w:val="center"/>
        <w:rPr>
          <w:rFonts w:ascii="Verdana" w:hAnsi="Verdana"/>
          <w:b/>
          <w:i w:val="0"/>
          <w:color w:val="auto"/>
          <w:sz w:val="16"/>
        </w:rPr>
      </w:pPr>
      <w:r w:rsidRPr="004D3DC6">
        <w:rPr>
          <w:rFonts w:ascii="Verdana" w:hAnsi="Verdana"/>
          <w:b/>
          <w:i w:val="0"/>
          <w:color w:val="auto"/>
          <w:sz w:val="16"/>
        </w:rPr>
        <w:lastRenderedPageBreak/>
        <w:t xml:space="preserve">Figure </w:t>
      </w:r>
      <w:r w:rsidRPr="004D3DC6">
        <w:rPr>
          <w:rFonts w:ascii="Verdana" w:hAnsi="Verdana"/>
          <w:b/>
          <w:i w:val="0"/>
          <w:color w:val="auto"/>
          <w:sz w:val="16"/>
        </w:rPr>
        <w:fldChar w:fldCharType="begin"/>
      </w:r>
      <w:r w:rsidRPr="004D3DC6">
        <w:rPr>
          <w:rFonts w:ascii="Verdana" w:hAnsi="Verdana"/>
          <w:b/>
          <w:i w:val="0"/>
          <w:color w:val="auto"/>
          <w:sz w:val="16"/>
        </w:rPr>
        <w:instrText xml:space="preserve"> SEQ Figure \* ARABIC </w:instrText>
      </w:r>
      <w:r w:rsidRPr="004D3DC6">
        <w:rPr>
          <w:rFonts w:ascii="Verdana" w:hAnsi="Verdana"/>
          <w:b/>
          <w:i w:val="0"/>
          <w:color w:val="auto"/>
          <w:sz w:val="16"/>
        </w:rPr>
        <w:fldChar w:fldCharType="separate"/>
      </w:r>
      <w:r w:rsidRPr="004D3DC6">
        <w:rPr>
          <w:rFonts w:ascii="Verdana" w:hAnsi="Verdana"/>
          <w:b/>
          <w:i w:val="0"/>
          <w:noProof/>
          <w:color w:val="auto"/>
          <w:sz w:val="16"/>
        </w:rPr>
        <w:t>1</w:t>
      </w:r>
      <w:r w:rsidRPr="004D3DC6">
        <w:rPr>
          <w:rFonts w:ascii="Verdana" w:hAnsi="Verdana"/>
          <w:b/>
          <w:i w:val="0"/>
          <w:color w:val="auto"/>
          <w:sz w:val="16"/>
        </w:rPr>
        <w:fldChar w:fldCharType="end"/>
      </w:r>
      <w:r w:rsidRPr="004D3DC6">
        <w:rPr>
          <w:rFonts w:ascii="Verdana" w:hAnsi="Verdana"/>
          <w:b/>
          <w:i w:val="0"/>
          <w:color w:val="auto"/>
          <w:sz w:val="16"/>
        </w:rPr>
        <w:t>: Monte Carlo analysis</w:t>
      </w:r>
      <w:bookmarkStart w:id="0" w:name="_GoBack"/>
      <w:bookmarkEnd w:id="0"/>
    </w:p>
    <w:p w:rsidR="007568D5" w:rsidRPr="004D3DC6" w:rsidRDefault="00D362F3" w:rsidP="00ED29D1">
      <w:pPr>
        <w:spacing w:after="0" w:line="276" w:lineRule="auto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noProof/>
          <w:sz w:val="18"/>
          <w:szCs w:val="18"/>
        </w:rPr>
        <w:drawing>
          <wp:inline distT="0" distB="0" distL="0" distR="0" wp14:anchorId="31785D31" wp14:editId="024F0D87">
            <wp:extent cx="8267700" cy="343769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291657" cy="3447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29D1" w:rsidRDefault="00ED29D1" w:rsidP="00ED29D1">
      <w:pPr>
        <w:pStyle w:val="Bijschrift"/>
        <w:keepNext/>
        <w:spacing w:after="0" w:line="276" w:lineRule="auto"/>
        <w:jc w:val="center"/>
        <w:rPr>
          <w:rFonts w:ascii="Verdana" w:hAnsi="Verdana"/>
          <w:b/>
          <w:i w:val="0"/>
          <w:color w:val="auto"/>
          <w:sz w:val="16"/>
        </w:rPr>
      </w:pPr>
    </w:p>
    <w:p w:rsidR="00C6367A" w:rsidRPr="004D3DC6" w:rsidRDefault="00C6367A" w:rsidP="00ED29D1">
      <w:pPr>
        <w:pStyle w:val="Bijschrift"/>
        <w:keepNext/>
        <w:spacing w:after="0" w:line="276" w:lineRule="auto"/>
        <w:jc w:val="center"/>
        <w:rPr>
          <w:rFonts w:ascii="Verdana" w:hAnsi="Verdana"/>
          <w:b/>
          <w:i w:val="0"/>
          <w:color w:val="auto"/>
          <w:sz w:val="16"/>
        </w:rPr>
      </w:pPr>
      <w:r w:rsidRPr="004D3DC6">
        <w:rPr>
          <w:rFonts w:ascii="Verdana" w:hAnsi="Verdana"/>
          <w:b/>
          <w:i w:val="0"/>
          <w:color w:val="auto"/>
          <w:sz w:val="16"/>
        </w:rPr>
        <w:t xml:space="preserve">Figure </w:t>
      </w:r>
      <w:r w:rsidRPr="004D3DC6">
        <w:rPr>
          <w:rFonts w:ascii="Verdana" w:hAnsi="Verdana"/>
          <w:b/>
          <w:i w:val="0"/>
          <w:color w:val="auto"/>
          <w:sz w:val="16"/>
        </w:rPr>
        <w:fldChar w:fldCharType="begin"/>
      </w:r>
      <w:r w:rsidRPr="004D3DC6">
        <w:rPr>
          <w:rFonts w:ascii="Verdana" w:hAnsi="Verdana"/>
          <w:b/>
          <w:i w:val="0"/>
          <w:color w:val="auto"/>
          <w:sz w:val="16"/>
        </w:rPr>
        <w:instrText xml:space="preserve"> SEQ Figure \* ARABIC </w:instrText>
      </w:r>
      <w:r w:rsidRPr="004D3DC6">
        <w:rPr>
          <w:rFonts w:ascii="Verdana" w:hAnsi="Verdana"/>
          <w:b/>
          <w:i w:val="0"/>
          <w:color w:val="auto"/>
          <w:sz w:val="16"/>
        </w:rPr>
        <w:fldChar w:fldCharType="separate"/>
      </w:r>
      <w:r w:rsidRPr="004D3DC6">
        <w:rPr>
          <w:rFonts w:ascii="Verdana" w:hAnsi="Verdana"/>
          <w:b/>
          <w:i w:val="0"/>
          <w:color w:val="auto"/>
          <w:sz w:val="16"/>
        </w:rPr>
        <w:t>2</w:t>
      </w:r>
      <w:r w:rsidRPr="004D3DC6">
        <w:rPr>
          <w:rFonts w:ascii="Verdana" w:hAnsi="Verdana"/>
          <w:b/>
          <w:i w:val="0"/>
          <w:color w:val="auto"/>
          <w:sz w:val="16"/>
        </w:rPr>
        <w:fldChar w:fldCharType="end"/>
      </w:r>
      <w:r w:rsidRPr="004D3DC6">
        <w:rPr>
          <w:rFonts w:ascii="Verdana" w:hAnsi="Verdana"/>
          <w:b/>
          <w:i w:val="0"/>
          <w:color w:val="auto"/>
          <w:sz w:val="16"/>
        </w:rPr>
        <w:t>: Sensitivity chart</w:t>
      </w:r>
    </w:p>
    <w:p w:rsidR="007568D5" w:rsidRPr="004D3DC6" w:rsidRDefault="00C6367A" w:rsidP="00ED29D1">
      <w:pPr>
        <w:spacing w:after="0" w:line="276" w:lineRule="auto"/>
        <w:jc w:val="center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noProof/>
          <w:sz w:val="18"/>
          <w:szCs w:val="18"/>
        </w:rPr>
        <w:drawing>
          <wp:inline distT="0" distB="0" distL="0" distR="0" wp14:anchorId="1A884317" wp14:editId="33418578">
            <wp:extent cx="4210050" cy="2000250"/>
            <wp:effectExtent l="0" t="0" r="0" b="0"/>
            <wp:docPr id="8" name="Grafiek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sectPr w:rsidR="007568D5" w:rsidRPr="004D3DC6" w:rsidSect="00BD1A89">
      <w:pgSz w:w="15840" w:h="12240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682" w:rsidRDefault="006E1682" w:rsidP="00385B66">
      <w:pPr>
        <w:spacing w:after="0" w:line="240" w:lineRule="auto"/>
      </w:pPr>
      <w:r>
        <w:separator/>
      </w:r>
    </w:p>
  </w:endnote>
  <w:endnote w:type="continuationSeparator" w:id="0">
    <w:p w:rsidR="006E1682" w:rsidRDefault="006E1682" w:rsidP="00385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8636675"/>
      <w:docPartObj>
        <w:docPartGallery w:val="Page Numbers (Bottom of Page)"/>
        <w:docPartUnique/>
      </w:docPartObj>
    </w:sdtPr>
    <w:sdtEndPr/>
    <w:sdtContent>
      <w:p w:rsidR="005104AE" w:rsidRDefault="005104AE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B07" w:rsidRPr="00E32B07">
          <w:rPr>
            <w:noProof/>
            <w:lang w:val="nl-NL"/>
          </w:rPr>
          <w:t>16</w:t>
        </w:r>
        <w:r>
          <w:fldChar w:fldCharType="end"/>
        </w:r>
      </w:p>
    </w:sdtContent>
  </w:sdt>
  <w:p w:rsidR="005104AE" w:rsidRDefault="005104AE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682" w:rsidRDefault="006E1682" w:rsidP="00385B66">
      <w:pPr>
        <w:spacing w:after="0" w:line="240" w:lineRule="auto"/>
      </w:pPr>
      <w:r>
        <w:separator/>
      </w:r>
    </w:p>
  </w:footnote>
  <w:footnote w:type="continuationSeparator" w:id="0">
    <w:p w:rsidR="006E1682" w:rsidRDefault="006E1682" w:rsidP="00385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091" w:rsidRPr="00B12091" w:rsidRDefault="00B12091" w:rsidP="00B12091">
    <w:pPr>
      <w:pStyle w:val="Geenafstand"/>
      <w:spacing w:line="360" w:lineRule="auto"/>
      <w:rPr>
        <w:rFonts w:ascii="Verdana" w:hAnsi="Verdana"/>
        <w:b/>
        <w:sz w:val="18"/>
        <w:szCs w:val="18"/>
        <w:u w:val="single"/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A89" w:rsidRPr="00B12091" w:rsidRDefault="00BD1A89" w:rsidP="00BD1A89">
    <w:pPr>
      <w:pStyle w:val="Geenafstand"/>
      <w:spacing w:line="360" w:lineRule="auto"/>
      <w:rPr>
        <w:rFonts w:ascii="Verdana" w:hAnsi="Verdana"/>
        <w:b/>
        <w:sz w:val="18"/>
        <w:szCs w:val="18"/>
        <w:u w:val="single"/>
        <w:lang w:val="en-GB"/>
      </w:rPr>
    </w:pPr>
    <w:r w:rsidRPr="004D3DC6">
      <w:rPr>
        <w:rFonts w:ascii="Verdana" w:hAnsi="Verdana"/>
        <w:b/>
        <w:color w:val="4472C4" w:themeColor="accent5"/>
        <w:szCs w:val="18"/>
        <w:lang w:val="en-GB"/>
      </w:rPr>
      <w:t>Case study – Exercise: Multi-criteria analysis</w:t>
    </w:r>
    <w:r>
      <w:rPr>
        <w:rFonts w:ascii="Verdana" w:hAnsi="Verdana"/>
        <w:b/>
        <w:color w:val="4472C4" w:themeColor="accent5"/>
        <w:szCs w:val="18"/>
        <w:lang w:val="en-GB"/>
      </w:rPr>
      <w:t xml:space="preserve"> – the Late Payment Directive</w:t>
    </w:r>
  </w:p>
  <w:p w:rsidR="00BD1A89" w:rsidRPr="00BD1A89" w:rsidRDefault="00BD1A89">
    <w:pPr>
      <w:pStyle w:val="Koptekst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0131C5"/>
    <w:multiLevelType w:val="hybridMultilevel"/>
    <w:tmpl w:val="FDF66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0E7A80"/>
    <w:multiLevelType w:val="hybridMultilevel"/>
    <w:tmpl w:val="CCE4F4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336BE"/>
    <w:multiLevelType w:val="hybridMultilevel"/>
    <w:tmpl w:val="E8A8F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E6935"/>
    <w:multiLevelType w:val="hybridMultilevel"/>
    <w:tmpl w:val="E63E6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AF38FE"/>
    <w:multiLevelType w:val="hybridMultilevel"/>
    <w:tmpl w:val="68ACE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C438C9"/>
    <w:multiLevelType w:val="hybridMultilevel"/>
    <w:tmpl w:val="D534ABCA"/>
    <w:lvl w:ilvl="0" w:tplc="7B2E107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0DB0C70"/>
    <w:multiLevelType w:val="hybridMultilevel"/>
    <w:tmpl w:val="3E9E9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B5937"/>
    <w:multiLevelType w:val="hybridMultilevel"/>
    <w:tmpl w:val="004004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643CEF"/>
    <w:multiLevelType w:val="hybridMultilevel"/>
    <w:tmpl w:val="E8A8F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C1F24"/>
    <w:multiLevelType w:val="hybridMultilevel"/>
    <w:tmpl w:val="E4AC3A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7C2BDC"/>
    <w:multiLevelType w:val="hybridMultilevel"/>
    <w:tmpl w:val="253A8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10"/>
  </w:num>
  <w:num w:numId="5">
    <w:abstractNumId w:val="9"/>
  </w:num>
  <w:num w:numId="6">
    <w:abstractNumId w:val="6"/>
  </w:num>
  <w:num w:numId="7">
    <w:abstractNumId w:val="2"/>
  </w:num>
  <w:num w:numId="8">
    <w:abstractNumId w:val="8"/>
  </w:num>
  <w:num w:numId="9">
    <w:abstractNumId w:val="4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3E2"/>
    <w:rsid w:val="000E0237"/>
    <w:rsid w:val="00161B7C"/>
    <w:rsid w:val="001E2C24"/>
    <w:rsid w:val="001F3C28"/>
    <w:rsid w:val="001F4AE4"/>
    <w:rsid w:val="00200864"/>
    <w:rsid w:val="002063E2"/>
    <w:rsid w:val="0023731A"/>
    <w:rsid w:val="00256407"/>
    <w:rsid w:val="00292D45"/>
    <w:rsid w:val="002C3477"/>
    <w:rsid w:val="002E52EC"/>
    <w:rsid w:val="002F1F3D"/>
    <w:rsid w:val="00320EF1"/>
    <w:rsid w:val="00321EB1"/>
    <w:rsid w:val="00332567"/>
    <w:rsid w:val="00350830"/>
    <w:rsid w:val="00365038"/>
    <w:rsid w:val="00385B66"/>
    <w:rsid w:val="003B0D40"/>
    <w:rsid w:val="003F2283"/>
    <w:rsid w:val="00412807"/>
    <w:rsid w:val="00442FE4"/>
    <w:rsid w:val="004468BD"/>
    <w:rsid w:val="004D3DC6"/>
    <w:rsid w:val="004F1146"/>
    <w:rsid w:val="005104AE"/>
    <w:rsid w:val="005272D8"/>
    <w:rsid w:val="00564672"/>
    <w:rsid w:val="005A7802"/>
    <w:rsid w:val="005B3201"/>
    <w:rsid w:val="00625542"/>
    <w:rsid w:val="006342A6"/>
    <w:rsid w:val="0068154D"/>
    <w:rsid w:val="006C3AAB"/>
    <w:rsid w:val="006C4B63"/>
    <w:rsid w:val="006D6EED"/>
    <w:rsid w:val="006E1682"/>
    <w:rsid w:val="007568D5"/>
    <w:rsid w:val="00836A1E"/>
    <w:rsid w:val="008C75B8"/>
    <w:rsid w:val="008D7E22"/>
    <w:rsid w:val="008F09BD"/>
    <w:rsid w:val="009421A8"/>
    <w:rsid w:val="00955B7B"/>
    <w:rsid w:val="00981A96"/>
    <w:rsid w:val="009A5314"/>
    <w:rsid w:val="009A5FAE"/>
    <w:rsid w:val="009B34D7"/>
    <w:rsid w:val="009D2EC4"/>
    <w:rsid w:val="009E1B86"/>
    <w:rsid w:val="009E3313"/>
    <w:rsid w:val="00A24B98"/>
    <w:rsid w:val="00A36BEF"/>
    <w:rsid w:val="00A94F54"/>
    <w:rsid w:val="00AA3BE3"/>
    <w:rsid w:val="00AD0772"/>
    <w:rsid w:val="00B12091"/>
    <w:rsid w:val="00BA5F13"/>
    <w:rsid w:val="00BD1A89"/>
    <w:rsid w:val="00C56912"/>
    <w:rsid w:val="00C6367A"/>
    <w:rsid w:val="00C948EB"/>
    <w:rsid w:val="00D24B3E"/>
    <w:rsid w:val="00D362F3"/>
    <w:rsid w:val="00D41FBE"/>
    <w:rsid w:val="00D616F9"/>
    <w:rsid w:val="00D81A27"/>
    <w:rsid w:val="00D84DC9"/>
    <w:rsid w:val="00DF1A27"/>
    <w:rsid w:val="00E2468F"/>
    <w:rsid w:val="00E32B07"/>
    <w:rsid w:val="00E37E8E"/>
    <w:rsid w:val="00E52B65"/>
    <w:rsid w:val="00E8696F"/>
    <w:rsid w:val="00ED29D1"/>
    <w:rsid w:val="00F53B84"/>
    <w:rsid w:val="00F63773"/>
    <w:rsid w:val="00F64156"/>
    <w:rsid w:val="00F65CD0"/>
    <w:rsid w:val="00FA49CE"/>
    <w:rsid w:val="00FC7363"/>
    <w:rsid w:val="00FE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224E94-D9E1-42A8-9521-8DCD8CD1B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063E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06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063E2"/>
    <w:pPr>
      <w:ind w:left="720"/>
      <w:contextualSpacing/>
    </w:pPr>
  </w:style>
  <w:style w:type="paragraph" w:styleId="Bijschrift">
    <w:name w:val="caption"/>
    <w:basedOn w:val="Standaard"/>
    <w:next w:val="Standaard"/>
    <w:uiPriority w:val="35"/>
    <w:unhideWhenUsed/>
    <w:qFormat/>
    <w:rsid w:val="002063E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385B6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85B66"/>
  </w:style>
  <w:style w:type="paragraph" w:styleId="Voettekst">
    <w:name w:val="footer"/>
    <w:basedOn w:val="Standaard"/>
    <w:link w:val="VoettekstChar"/>
    <w:uiPriority w:val="99"/>
    <w:unhideWhenUsed/>
    <w:rsid w:val="00385B6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85B66"/>
  </w:style>
  <w:style w:type="paragraph" w:styleId="Ballontekst">
    <w:name w:val="Balloon Text"/>
    <w:basedOn w:val="Standaard"/>
    <w:link w:val="BallontekstChar"/>
    <w:uiPriority w:val="99"/>
    <w:semiHidden/>
    <w:unhideWhenUsed/>
    <w:rsid w:val="00981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81A96"/>
    <w:rPr>
      <w:rFonts w:ascii="Segoe UI" w:hAnsi="Segoe UI" w:cs="Segoe UI"/>
      <w:sz w:val="18"/>
      <w:szCs w:val="18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8F09BD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8F09BD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8F09BD"/>
    <w:rPr>
      <w:vertAlign w:val="superscript"/>
    </w:rPr>
  </w:style>
  <w:style w:type="character" w:styleId="Hyperlink">
    <w:name w:val="Hyperlink"/>
    <w:basedOn w:val="Standaardalinea-lettertype"/>
    <w:uiPriority w:val="99"/>
    <w:unhideWhenUsed/>
    <w:rsid w:val="008F09BD"/>
    <w:rPr>
      <w:color w:val="0563C1" w:themeColor="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C63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Geenafstand">
    <w:name w:val="No Spacing"/>
    <w:uiPriority w:val="1"/>
    <w:qFormat/>
    <w:rsid w:val="004D3DC6"/>
    <w:pPr>
      <w:spacing w:after="0" w:line="240" w:lineRule="auto"/>
    </w:pPr>
    <w:rPr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4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1763040731019734E-2"/>
          <c:y val="4.4991214941107562E-2"/>
          <c:w val="0.50419799747253813"/>
          <c:h val="0.82106331749853578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Inputs!$E$23</c:f>
              <c:strCache>
                <c:ptCount val="1"/>
                <c:pt idx="0">
                  <c:v>Firms Administrative sanctions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Inputs!$F$23</c:f>
              <c:numCache>
                <c:formatCode>0.00%</c:formatCode>
                <c:ptCount val="1"/>
                <c:pt idx="0">
                  <c:v>2.3E-2</c:v>
                </c:pt>
              </c:numCache>
            </c:numRef>
          </c:val>
        </c:ser>
        <c:ser>
          <c:idx val="1"/>
          <c:order val="1"/>
          <c:tx>
            <c:strRef>
              <c:f>Inputs!$E$24</c:f>
              <c:strCache>
                <c:ptCount val="1"/>
                <c:pt idx="0">
                  <c:v>Firms Stricter payment terms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Inputs!$F$24</c:f>
              <c:numCache>
                <c:formatCode>0.00%</c:formatCode>
                <c:ptCount val="1"/>
                <c:pt idx="0">
                  <c:v>5.6000000000000001E-2</c:v>
                </c:pt>
              </c:numCache>
            </c:numRef>
          </c:val>
        </c:ser>
        <c:ser>
          <c:idx val="2"/>
          <c:order val="2"/>
          <c:tx>
            <c:strRef>
              <c:f>Inputs!$E$25</c:f>
              <c:strCache>
                <c:ptCount val="1"/>
                <c:pt idx="0">
                  <c:v>Firms Transparency of payment practices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Inputs!$F$25</c:f>
              <c:numCache>
                <c:formatCode>0%</c:formatCode>
                <c:ptCount val="1"/>
                <c:pt idx="0">
                  <c:v>0.09</c:v>
                </c:pt>
              </c:numCache>
            </c:numRef>
          </c:val>
        </c:ser>
        <c:ser>
          <c:idx val="3"/>
          <c:order val="3"/>
          <c:tx>
            <c:strRef>
              <c:f>Inputs!$E$26</c:f>
              <c:strCache>
                <c:ptCount val="1"/>
                <c:pt idx="0">
                  <c:v>Firms Alternative Dispute Resolution System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Inputs!$F$26</c:f>
              <c:numCache>
                <c:formatCode>0.00%</c:formatCode>
                <c:ptCount val="1"/>
                <c:pt idx="0">
                  <c:v>-0.217</c:v>
                </c:pt>
              </c:numCache>
            </c:numRef>
          </c:val>
        </c:ser>
        <c:ser>
          <c:idx val="4"/>
          <c:order val="4"/>
          <c:tx>
            <c:strRef>
              <c:f>Inputs!$E$27</c:f>
              <c:strCache>
                <c:ptCount val="1"/>
                <c:pt idx="0">
                  <c:v>Applications Tax regulations</c:v>
                </c:pt>
              </c:strCache>
            </c:strRef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Inputs!$F$27</c:f>
              <c:numCache>
                <c:formatCode>0.00%</c:formatCode>
                <c:ptCount val="1"/>
                <c:pt idx="0">
                  <c:v>0.61399999999999999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75"/>
        <c:axId val="443118664"/>
        <c:axId val="443119448"/>
      </c:barChart>
      <c:catAx>
        <c:axId val="44311866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443119448"/>
        <c:crosses val="autoZero"/>
        <c:auto val="1"/>
        <c:lblAlgn val="ctr"/>
        <c:lblOffset val="100"/>
        <c:noMultiLvlLbl val="0"/>
      </c:catAx>
      <c:valAx>
        <c:axId val="44311944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0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43118664"/>
        <c:crossesAt val="1"/>
        <c:crossBetween val="between"/>
        <c:majorUnit val="0.2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9047465733449978"/>
          <c:y val="4.0862888006767746E-2"/>
          <c:w val="0.39767349081364828"/>
          <c:h val="0.8407136504631135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Kantoor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Kantoor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toor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25970-4B67-4CF6-82E4-8C1BFB6A1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ROOSEN Jorg</dc:creator>
  <cp:keywords/>
  <dc:description/>
  <cp:lastModifiedBy>ROOSEN Jorg</cp:lastModifiedBy>
  <cp:revision>6</cp:revision>
  <cp:lastPrinted>2019-02-13T12:30:00Z</cp:lastPrinted>
  <dcterms:created xsi:type="dcterms:W3CDTF">2019-02-18T12:03:00Z</dcterms:created>
  <dcterms:modified xsi:type="dcterms:W3CDTF">2019-02-18T13:10:00Z</dcterms:modified>
</cp:coreProperties>
</file>